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AB7" w:rsidRPr="008D1AB7" w:rsidRDefault="008D1AB7" w:rsidP="008D1AB7">
      <w:pPr>
        <w:spacing w:after="150" w:line="240" w:lineRule="auto"/>
        <w:outlineLvl w:val="1"/>
        <w:rPr>
          <w:rFonts w:ascii="Helvetica" w:eastAsia="Times New Roman" w:hAnsi="Helvetica" w:cs="Times New Roman"/>
          <w:color w:val="616064"/>
          <w:sz w:val="48"/>
          <w:szCs w:val="48"/>
        </w:rPr>
      </w:pPr>
      <w:r w:rsidRPr="008D1AB7">
        <w:rPr>
          <w:rFonts w:ascii="Helvetica" w:eastAsia="Times New Roman" w:hAnsi="Helvetica" w:cs="Times New Roman"/>
          <w:color w:val="616064"/>
          <w:sz w:val="48"/>
          <w:szCs w:val="48"/>
        </w:rPr>
        <w:t>Academics Grades 4 - 8</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Academics Grades 4-8</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        Our teachers have high standards for student learning and provide instruction that supports high levels of learning in a caring supportive environment.  Teacher collaboration drives teacher learning and excellence which in turn supports student engagement and success.  We build positive working relationships with parents and students to create a team of learners who communicate and collaborate with the purpose of achieving similar goals designed to ensure student success so that we can ensure that our students receive a World Class Public education!</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 </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Artistic Expression</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        We offer a variety of artistic opportunities for our students.  Music classes focus on singing, guitar, and instruction in various instruments.   We offer a school-wide drama production championed by our students in grades 6-8 during their Career and Technology Foundation class.  Students are also given instruction in the building, painting, and creation of sets and stage props, coaching on their acting, and running a production. Sketching Courses are offered in our Career and Technology courses as well as courses focusing on the appreciation of Arts and Culture.  Students in grades 4 and 5 have regular art classes that help build and foster artistic expression, both for the appreciation of the arts and as real-world skills that assist in showcasing student learning in their core subjects.  Photography courses are also offered in our school where students learn to take pictures focused on specific themes. They are then taught to edit and alter their photos to create and enhance the expression of the photograph to reflect the tone and mood of the piece.            </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 </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Athletic Opportunities</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         Our teachers coach students in grades 6-9 sports such as volleyball, basketball, badminton, track and field, and cross country running.  We share a team with GCCHS so that our teams can be competitive in our zone and programs can grow and succeed.  Physical Education is valued and considered an important part of educating the whole child and providing a skill set that will allow our students to participate in athletic events throughout their lives. Our Career and Technology Foundation courses also offer opportunities for learning and experiencing outdoor sports, fitness, and healthy lifestyles.</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 </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Outdoor Experiences</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         Our teachers value living and recreating in the outdoors and bring this passion into their classrooms.  We often bring our students outside of the classroom into the community, wilderness, and field trips designed to enhance student engagement and learning.  </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 </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Technology</w:t>
      </w:r>
    </w:p>
    <w:p w:rsidR="008D1AB7" w:rsidRPr="008D1AB7" w:rsidRDefault="008D1AB7" w:rsidP="008D1AB7">
      <w:pPr>
        <w:spacing w:after="360" w:line="240" w:lineRule="auto"/>
        <w:rPr>
          <w:rFonts w:ascii="Helvetica" w:eastAsia="Times New Roman" w:hAnsi="Helvetica" w:cs="Times New Roman"/>
          <w:color w:val="616064"/>
          <w:sz w:val="18"/>
          <w:szCs w:val="18"/>
        </w:rPr>
      </w:pPr>
      <w:r w:rsidRPr="008D1AB7">
        <w:rPr>
          <w:rFonts w:ascii="Helvetica" w:eastAsia="Times New Roman" w:hAnsi="Helvetica" w:cs="Times New Roman"/>
          <w:color w:val="616064"/>
          <w:sz w:val="18"/>
          <w:szCs w:val="18"/>
        </w:rPr>
        <w:t xml:space="preserve">         We see technology as a tool to be used to deepen and enhance student learning and expression.  In our classrooms, students are taught to use technology in their everyday classroom learning as a vehicle for the collection </w:t>
      </w:r>
      <w:r w:rsidRPr="008D1AB7">
        <w:rPr>
          <w:rFonts w:ascii="Helvetica" w:eastAsia="Times New Roman" w:hAnsi="Helvetica" w:cs="Times New Roman"/>
          <w:color w:val="616064"/>
          <w:sz w:val="18"/>
          <w:szCs w:val="18"/>
        </w:rPr>
        <w:lastRenderedPageBreak/>
        <w:t>and expression of information and expression.  We also specifically teach technology use in Coding Classes, Photography classes, and in classes designed to create and manipulate video footage.  </w:t>
      </w:r>
    </w:p>
    <w:p w:rsidR="00656F79" w:rsidRDefault="00656F79">
      <w:bookmarkStart w:id="0" w:name="_GoBack"/>
      <w:bookmarkEnd w:id="0"/>
    </w:p>
    <w:sectPr w:rsidR="00656F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B7"/>
    <w:rsid w:val="00656F79"/>
    <w:rsid w:val="008D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9B7F8-AFE7-47C8-92FD-78FED9D8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741499">
      <w:bodyDiv w:val="1"/>
      <w:marLeft w:val="0"/>
      <w:marRight w:val="0"/>
      <w:marTop w:val="0"/>
      <w:marBottom w:val="0"/>
      <w:divBdr>
        <w:top w:val="none" w:sz="0" w:space="0" w:color="auto"/>
        <w:left w:val="none" w:sz="0" w:space="0" w:color="auto"/>
        <w:bottom w:val="none" w:sz="0" w:space="0" w:color="auto"/>
        <w:right w:val="none" w:sz="0" w:space="0" w:color="auto"/>
      </w:divBdr>
      <w:divsChild>
        <w:div w:id="2133353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GYPSD#77</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GYPSD#77</dc:creator>
  <cp:keywords/>
  <dc:description/>
  <cp:lastModifiedBy>GYPSD#77</cp:lastModifiedBy>
  <cp:revision>1</cp:revision>
  <dcterms:created xsi:type="dcterms:W3CDTF">2020-11-06T20:08:00Z</dcterms:created>
  <dcterms:modified xsi:type="dcterms:W3CDTF">2020-11-06T20:10:00Z</dcterms:modified>
</cp:coreProperties>
</file>